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95C" w:rsidRDefault="00C878D0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68395C" w:rsidRDefault="00C878D0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68395C" w:rsidRDefault="00C878D0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68395C" w:rsidRDefault="00C878D0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68395C" w:rsidRDefault="00C878D0" w:rsidP="00C878D0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№ 217-од от 30.12.2025 г.</w:t>
      </w:r>
    </w:p>
    <w:p w:rsidR="00C878D0" w:rsidRDefault="00C878D0" w:rsidP="00C878D0">
      <w:pPr>
        <w:widowControl w:val="0"/>
        <w:jc w:val="right"/>
        <w:rPr>
          <w:rFonts w:ascii="Times New Roman" w:hAnsi="Times New Roman"/>
          <w:b/>
          <w:i/>
        </w:rPr>
      </w:pPr>
    </w:p>
    <w:p w:rsidR="0068395C" w:rsidRDefault="00C878D0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68395C" w:rsidRDefault="00C878D0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68395C" w:rsidRDefault="00C878D0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68395C" w:rsidRDefault="0068395C">
      <w:pPr>
        <w:widowControl w:val="0"/>
        <w:jc w:val="center"/>
        <w:rPr>
          <w:rFonts w:ascii="Times New Roman" w:hAnsi="Times New Roman"/>
          <w:sz w:val="16"/>
        </w:rPr>
      </w:pPr>
    </w:p>
    <w:p w:rsidR="0068395C" w:rsidRDefault="0068395C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68395C" w:rsidRDefault="00C878D0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68395C" w:rsidRDefault="00C878D0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268"/>
        <w:gridCol w:w="1418"/>
        <w:gridCol w:w="1843"/>
      </w:tblGrid>
      <w:tr w:rsidR="0068395C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68395C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2,5416</w:t>
            </w:r>
          </w:p>
        </w:tc>
      </w:tr>
      <w:tr w:rsidR="0068395C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2,79072</w:t>
            </w:r>
          </w:p>
        </w:tc>
      </w:tr>
      <w:tr w:rsidR="0068395C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5,33232</w:t>
            </w:r>
          </w:p>
        </w:tc>
      </w:tr>
    </w:tbl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68395C" w:rsidRDefault="0068395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571"/>
        <w:gridCol w:w="2291"/>
        <w:gridCol w:w="1283"/>
        <w:gridCol w:w="1704"/>
        <w:gridCol w:w="1532"/>
      </w:tblGrid>
      <w:tr w:rsidR="0068395C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68395C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0,216</w:t>
            </w:r>
          </w:p>
        </w:tc>
      </w:tr>
      <w:tr w:rsidR="0068395C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0,480</w:t>
            </w:r>
          </w:p>
        </w:tc>
      </w:tr>
      <w:tr w:rsidR="0068395C">
        <w:trPr>
          <w:trHeight w:val="456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0,696</w:t>
            </w:r>
          </w:p>
        </w:tc>
      </w:tr>
    </w:tbl>
    <w:p w:rsidR="0068395C" w:rsidRDefault="00C878D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2869"/>
      </w:tblGrid>
      <w:tr w:rsidR="0068395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месяцев </w:t>
            </w:r>
            <w:r>
              <w:rPr>
                <w:rFonts w:ascii="Times New Roman" w:hAnsi="Times New Roman"/>
              </w:rPr>
              <w:lastRenderedPageBreak/>
              <w:t>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на связь    в год (не более), тыс. руб.</w:t>
            </w:r>
          </w:p>
        </w:tc>
      </w:tr>
      <w:tr w:rsidR="0068395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2172,00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13,032</w:t>
            </w:r>
          </w:p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8395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2384,86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14,30916</w:t>
            </w:r>
          </w:p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8395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27,34116</w:t>
            </w:r>
          </w:p>
        </w:tc>
      </w:tr>
    </w:tbl>
    <w:p w:rsidR="0068395C" w:rsidRDefault="0068395C">
      <w:pPr>
        <w:widowControl w:val="0"/>
        <w:ind w:firstLine="709"/>
        <w:jc w:val="both"/>
        <w:rPr>
          <w:rFonts w:ascii="Times New Roman" w:hAnsi="Times New Roman"/>
        </w:rPr>
      </w:pPr>
    </w:p>
    <w:p w:rsidR="0068395C" w:rsidRDefault="0068395C">
      <w:pPr>
        <w:widowControl w:val="0"/>
        <w:ind w:firstLine="709"/>
        <w:jc w:val="both"/>
        <w:rPr>
          <w:rFonts w:ascii="Times New Roman" w:hAnsi="Times New Roman"/>
        </w:rPr>
      </w:pPr>
    </w:p>
    <w:p w:rsidR="0068395C" w:rsidRDefault="0068395C">
      <w:pPr>
        <w:widowControl w:val="0"/>
        <w:ind w:firstLine="709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8395C" w:rsidRDefault="0068395C">
      <w:pPr>
        <w:widowControl w:val="0"/>
        <w:rPr>
          <w:rFonts w:ascii="Times New Roman" w:hAnsi="Times New Roman"/>
          <w:b/>
        </w:rPr>
      </w:pPr>
    </w:p>
    <w:p w:rsidR="0068395C" w:rsidRDefault="00C878D0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68395C" w:rsidRDefault="0068395C">
      <w:pPr>
        <w:widowControl w:val="0"/>
        <w:ind w:firstLine="709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68395C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68395C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13,75</w:t>
            </w:r>
          </w:p>
        </w:tc>
      </w:tr>
    </w:tbl>
    <w:p w:rsidR="0068395C" w:rsidRDefault="0068395C">
      <w:pPr>
        <w:widowControl w:val="0"/>
        <w:ind w:firstLine="540"/>
        <w:jc w:val="both"/>
        <w:rPr>
          <w:rFonts w:ascii="Times New Roman" w:hAnsi="Times New Roman"/>
        </w:rPr>
      </w:pPr>
    </w:p>
    <w:p w:rsidR="0068395C" w:rsidRDefault="0068395C">
      <w:pPr>
        <w:widowControl w:val="0"/>
        <w:ind w:firstLine="709"/>
        <w:jc w:val="both"/>
        <w:rPr>
          <w:rFonts w:ascii="Times New Roman" w:hAnsi="Times New Roman"/>
        </w:rPr>
      </w:pPr>
    </w:p>
    <w:p w:rsidR="0068395C" w:rsidRDefault="00C878D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68395C" w:rsidRDefault="0068395C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3199"/>
        <w:gridCol w:w="3139"/>
      </w:tblGrid>
      <w:tr w:rsidR="0068395C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68395C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R="0068395C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Права на программу для ЭВМ Право на использование модуля защиты от НСД и контроля Средств защиты информации </w:t>
            </w:r>
            <w:proofErr w:type="spellStart"/>
            <w:r>
              <w:rPr>
                <w:rFonts w:ascii="Times New Roman" w:hAnsi="Times New Roman"/>
              </w:rPr>
              <w:t>Secret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Studio</w:t>
            </w:r>
            <w:proofErr w:type="spellEnd"/>
            <w:r>
              <w:rPr>
                <w:rFonts w:ascii="Times New Roman" w:hAnsi="Times New Roman"/>
              </w:rPr>
              <w:t xml:space="preserve"> 8f 1-50 лицензий.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15,218</w:t>
            </w:r>
          </w:p>
        </w:tc>
      </w:tr>
      <w:tr w:rsidR="0068395C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30,218</w:t>
            </w:r>
          </w:p>
        </w:tc>
      </w:tr>
    </w:tbl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8395C" w:rsidRDefault="0068395C">
      <w:pPr>
        <w:rPr>
          <w:rFonts w:ascii="Times New Roman" w:hAnsi="Times New Roman"/>
        </w:rPr>
      </w:pPr>
    </w:p>
    <w:p w:rsidR="0068395C" w:rsidRDefault="00C878D0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68395C" w:rsidRDefault="0068395C">
      <w:pPr>
        <w:ind w:firstLine="709"/>
        <w:rPr>
          <w:rFonts w:ascii="Times New Roman" w:hAnsi="Times New Roman"/>
          <w:b/>
        </w:rPr>
      </w:pPr>
    </w:p>
    <w:p w:rsidR="0068395C" w:rsidRDefault="00C878D0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68395C" w:rsidRDefault="00C878D0">
      <w:pPr>
        <w:widowControl w:val="0"/>
        <w:jc w:val="both"/>
      </w:pPr>
      <w:r>
        <w:rPr>
          <w:rFonts w:ascii="Times New Roman" w:hAnsi="Times New Roman"/>
        </w:rPr>
        <w:t xml:space="preserve">             3.1.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hAnsi="Times New Roman"/>
        </w:rPr>
        <w:t>дств в р</w:t>
      </w:r>
      <w:proofErr w:type="gramEnd"/>
      <w:r>
        <w:rPr>
          <w:rFonts w:ascii="Times New Roman" w:hAnsi="Times New Roman"/>
        </w:rPr>
        <w:t>амках затрат на информационно-коммуникационные технологии:</w:t>
      </w:r>
    </w:p>
    <w:p w:rsidR="0068395C" w:rsidRDefault="0068395C">
      <w:pPr>
        <w:ind w:firstLine="709"/>
        <w:rPr>
          <w:rFonts w:ascii="Times New Roman" w:hAnsi="Times New Roman"/>
          <w:b/>
        </w:rPr>
      </w:pPr>
    </w:p>
    <w:p w:rsidR="0068395C" w:rsidRDefault="0068395C">
      <w:pPr>
        <w:ind w:firstLine="709"/>
        <w:rPr>
          <w:rFonts w:ascii="Times New Roman" w:hAnsi="Times New Roman"/>
          <w:b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68395C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68395C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игровой мягкой мебели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200,000</w:t>
            </w:r>
          </w:p>
        </w:tc>
      </w:tr>
      <w:tr w:rsidR="0068395C">
        <w:trPr>
          <w:trHeight w:hRule="exact" w:val="5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Декорации (занавес)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28,00</w:t>
            </w:r>
          </w:p>
        </w:tc>
      </w:tr>
      <w:tr w:rsidR="0068395C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228,000</w:t>
            </w:r>
          </w:p>
        </w:tc>
      </w:tr>
    </w:tbl>
    <w:p w:rsidR="0068395C" w:rsidRDefault="00C878D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68395C" w:rsidRDefault="00C878D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8395C" w:rsidRDefault="0068395C">
      <w:pPr>
        <w:rPr>
          <w:rFonts w:ascii="Times New Roman" w:hAnsi="Times New Roman"/>
        </w:rPr>
      </w:pPr>
    </w:p>
    <w:p w:rsidR="0068395C" w:rsidRDefault="0068395C">
      <w:pPr>
        <w:rPr>
          <w:rFonts w:ascii="Times New Roman" w:hAnsi="Times New Roman"/>
        </w:rPr>
      </w:pPr>
    </w:p>
    <w:p w:rsidR="0068395C" w:rsidRDefault="00C878D0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68395C" w:rsidRDefault="0068395C">
      <w:pPr>
        <w:ind w:firstLine="720"/>
        <w:jc w:val="both"/>
        <w:rPr>
          <w:rFonts w:ascii="Times New Roman" w:hAnsi="Times New Roman"/>
          <w:b/>
        </w:rPr>
      </w:pPr>
    </w:p>
    <w:p w:rsidR="0068395C" w:rsidRDefault="00C878D0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68395C" w:rsidRDefault="0068395C">
      <w:pPr>
        <w:ind w:firstLine="720"/>
        <w:jc w:val="both"/>
        <w:rPr>
          <w:rFonts w:ascii="Times New Roman" w:hAnsi="Times New Roman"/>
          <w:b/>
        </w:rPr>
      </w:pPr>
    </w:p>
    <w:p w:rsidR="0068395C" w:rsidRDefault="00C878D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68395C" w:rsidRDefault="0068395C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68395C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</w:t>
            </w:r>
            <w:proofErr w:type="gramStart"/>
            <w:r>
              <w:rPr>
                <w:rFonts w:ascii="Times New Roman" w:hAnsi="Times New Roman"/>
              </w:rPr>
              <w:t>КО</w:t>
            </w:r>
            <w:proofErr w:type="gramEnd"/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                    (не 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68395C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</w:pPr>
            <w:r>
              <w:rPr>
                <w:rFonts w:ascii="Times New Roman" w:hAnsi="Times New Roman"/>
                <w:b/>
              </w:rPr>
              <w:t>1379,4008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r>
              <w:rPr>
                <w:rFonts w:ascii="Times New Roman" w:hAnsi="Times New Roman"/>
                <w:b/>
              </w:rPr>
              <w:t>1288,52902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r>
              <w:rPr>
                <w:rFonts w:ascii="Times New Roman" w:hAnsi="Times New Roman"/>
                <w:b/>
              </w:rPr>
              <w:t>209,73107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</w:pPr>
            <w:r>
              <w:rPr>
                <w:rFonts w:ascii="Times New Roman" w:hAnsi="Times New Roman"/>
                <w:b/>
              </w:rPr>
              <w:t>45,4939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2937,15479</w:t>
            </w:r>
          </w:p>
        </w:tc>
      </w:tr>
    </w:tbl>
    <w:p w:rsidR="0068395C" w:rsidRDefault="0068395C">
      <w:pPr>
        <w:ind w:firstLine="720"/>
        <w:jc w:val="both"/>
        <w:rPr>
          <w:rFonts w:ascii="Times New Roman" w:hAnsi="Times New Roman"/>
          <w:b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68395C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68395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Январь - июнь 2026  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657,44022</w:t>
            </w:r>
          </w:p>
        </w:tc>
      </w:tr>
      <w:tr w:rsidR="0068395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721,96058</w:t>
            </w:r>
          </w:p>
        </w:tc>
      </w:tr>
      <w:tr w:rsidR="0068395C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1379,4008</w:t>
            </w:r>
          </w:p>
        </w:tc>
      </w:tr>
    </w:tbl>
    <w:p w:rsidR="0068395C" w:rsidRDefault="0068395C">
      <w:pPr>
        <w:ind w:firstLine="720"/>
        <w:rPr>
          <w:rFonts w:ascii="Times New Roman" w:hAnsi="Times New Roman"/>
        </w:rPr>
      </w:pPr>
    </w:p>
    <w:p w:rsidR="0068395C" w:rsidRDefault="00C878D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68395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68395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июнь 2026  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2474,29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681,6669</w:t>
            </w:r>
          </w:p>
        </w:tc>
      </w:tr>
      <w:tr w:rsidR="0068395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2716,77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599,04779</w:t>
            </w:r>
          </w:p>
        </w:tc>
      </w:tr>
      <w:tr w:rsidR="0068395C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68395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июнь 2026  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3,72465</w:t>
            </w:r>
          </w:p>
        </w:tc>
      </w:tr>
      <w:tr w:rsidR="0068395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4,08968</w:t>
            </w:r>
          </w:p>
        </w:tc>
      </w:tr>
      <w:tr w:rsidR="0068395C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1288,52902</w:t>
            </w:r>
          </w:p>
        </w:tc>
      </w:tr>
    </w:tbl>
    <w:p w:rsidR="0068395C" w:rsidRDefault="0068395C">
      <w:pPr>
        <w:rPr>
          <w:rFonts w:ascii="Times New Roman" w:hAnsi="Times New Roman"/>
          <w:b/>
        </w:rPr>
      </w:pPr>
    </w:p>
    <w:p w:rsidR="0068395C" w:rsidRDefault="00C878D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68395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68395C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июнь 2026  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1136,5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42,42555</w:t>
            </w:r>
          </w:p>
        </w:tc>
      </w:tr>
      <w:tr w:rsidR="0068395C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40,99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1136,5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46,58514</w:t>
            </w:r>
          </w:p>
        </w:tc>
      </w:tr>
      <w:tr w:rsidR="0068395C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июнь 2026  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57,54038</w:t>
            </w:r>
          </w:p>
        </w:tc>
      </w:tr>
      <w:tr w:rsidR="0068395C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63,180</w:t>
            </w:r>
          </w:p>
        </w:tc>
      </w:tr>
      <w:tr w:rsidR="0068395C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209,73107</w:t>
            </w:r>
          </w:p>
        </w:tc>
      </w:tr>
    </w:tbl>
    <w:p w:rsidR="0068395C" w:rsidRDefault="0068395C">
      <w:pPr>
        <w:rPr>
          <w:rFonts w:ascii="Times New Roman" w:hAnsi="Times New Roman"/>
        </w:rPr>
      </w:pPr>
    </w:p>
    <w:p w:rsidR="0068395C" w:rsidRDefault="00C878D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68395C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68395C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821E1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  <w:r w:rsidR="00C878D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</w:t>
            </w:r>
            <w:r w:rsidR="00C878D0">
              <w:rPr>
                <w:rFonts w:ascii="Times New Roman" w:hAnsi="Times New Roman"/>
              </w:rPr>
              <w:t>6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45,4939</w:t>
            </w:r>
            <w:bookmarkStart w:id="0" w:name="_GoBack"/>
            <w:bookmarkEnd w:id="0"/>
          </w:p>
        </w:tc>
      </w:tr>
      <w:tr w:rsidR="0068395C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45,4939</w:t>
            </w:r>
          </w:p>
        </w:tc>
      </w:tr>
    </w:tbl>
    <w:p w:rsidR="0068395C" w:rsidRDefault="0068395C">
      <w:pPr>
        <w:widowControl w:val="0"/>
        <w:ind w:firstLine="709"/>
        <w:jc w:val="both"/>
        <w:rPr>
          <w:rFonts w:ascii="Times New Roman" w:hAnsi="Times New Roman"/>
        </w:rPr>
      </w:pPr>
    </w:p>
    <w:p w:rsidR="0068395C" w:rsidRDefault="00C878D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</w:t>
      </w:r>
      <w:proofErr w:type="gramStart"/>
      <w:r>
        <w:rPr>
          <w:rFonts w:ascii="Times New Roman" w:hAnsi="Times New Roman"/>
        </w:rPr>
        <w:t>О(</w:t>
      </w:r>
      <w:proofErr w:type="gramEnd"/>
      <w:r>
        <w:rPr>
          <w:rFonts w:ascii="Times New Roman" w:hAnsi="Times New Roman"/>
        </w:rPr>
        <w:t>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68395C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68395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услуг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 xml:space="preserve">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68395C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14,00</w:t>
            </w:r>
          </w:p>
        </w:tc>
      </w:tr>
    </w:tbl>
    <w:p w:rsidR="0068395C" w:rsidRDefault="0068395C">
      <w:pPr>
        <w:widowControl w:val="0"/>
        <w:ind w:firstLine="709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8395C" w:rsidRDefault="0068395C">
      <w:pPr>
        <w:ind w:firstLine="720"/>
        <w:jc w:val="both"/>
        <w:rPr>
          <w:rFonts w:ascii="Times New Roman" w:hAnsi="Times New Roman"/>
          <w:b/>
        </w:rPr>
      </w:pPr>
    </w:p>
    <w:p w:rsidR="0068395C" w:rsidRDefault="00C878D0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68395C" w:rsidRDefault="0068395C">
      <w:pPr>
        <w:ind w:firstLine="720"/>
        <w:rPr>
          <w:rFonts w:ascii="Times New Roman" w:hAnsi="Times New Roman"/>
        </w:rPr>
      </w:pPr>
    </w:p>
    <w:p w:rsidR="0068395C" w:rsidRDefault="00C878D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68395C" w:rsidRDefault="0068395C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68395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68395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</w:pPr>
            <w:r>
              <w:rPr>
                <w:rFonts w:ascii="Times New Roman" w:hAnsi="Times New Roman"/>
                <w:b/>
              </w:rPr>
              <w:t>200,1168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17,25602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</w:pPr>
            <w:r>
              <w:rPr>
                <w:rFonts w:ascii="Times New Roman" w:hAnsi="Times New Roman"/>
                <w:b/>
              </w:rPr>
              <w:t>326,18575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543,55857</w:t>
            </w:r>
          </w:p>
        </w:tc>
      </w:tr>
    </w:tbl>
    <w:p w:rsidR="0068395C" w:rsidRDefault="0068395C">
      <w:pPr>
        <w:ind w:firstLine="720"/>
        <w:jc w:val="both"/>
        <w:rPr>
          <w:rFonts w:ascii="Times New Roman" w:hAnsi="Times New Roman"/>
        </w:rPr>
      </w:pPr>
    </w:p>
    <w:p w:rsidR="0068395C" w:rsidRDefault="00C878D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систем охранно-тревожной сигнализации: </w:t>
      </w:r>
    </w:p>
    <w:p w:rsidR="0068395C" w:rsidRDefault="0068395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1418"/>
      </w:tblGrid>
      <w:tr w:rsidR="0068395C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68395C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 xml:space="preserve">Обслуживание пожарной сигнализации,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</w:t>
            </w:r>
            <w:proofErr w:type="gramStart"/>
            <w:r>
              <w:rPr>
                <w:rFonts w:ascii="Times New Roman" w:hAnsi="Times New Roman"/>
                <w:spacing w:val="-4"/>
              </w:rPr>
              <w:t>.о</w:t>
            </w:r>
            <w:proofErr w:type="gramEnd"/>
            <w:r>
              <w:rPr>
                <w:rFonts w:ascii="Times New Roman" w:hAnsi="Times New Roman"/>
                <w:spacing w:val="-4"/>
              </w:rPr>
              <w:t>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видеонаблюдения;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158,400</w:t>
            </w:r>
          </w:p>
        </w:tc>
      </w:tr>
      <w:tr w:rsidR="0068395C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Техническое освидетельствование (испытание) системы  автоматической пожарной сигнализации (АПС) и системы оповещения и </w:t>
            </w:r>
            <w:r>
              <w:rPr>
                <w:rFonts w:ascii="Times New Roman" w:hAnsi="Times New Roman"/>
              </w:rPr>
              <w:lastRenderedPageBreak/>
              <w:t>управления эвакуацией людей при пожар</w:t>
            </w:r>
            <w:proofErr w:type="gramStart"/>
            <w:r>
              <w:rPr>
                <w:rFonts w:ascii="Times New Roman" w:hAnsi="Times New Roman"/>
              </w:rPr>
              <w:t>е(</w:t>
            </w:r>
            <w:proofErr w:type="gramEnd"/>
            <w:r>
              <w:rPr>
                <w:rFonts w:ascii="Times New Roman" w:hAnsi="Times New Roman"/>
              </w:rPr>
              <w:t xml:space="preserve"> СОУЭ)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68395C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lastRenderedPageBreak/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23,7168</w:t>
            </w:r>
          </w:p>
        </w:tc>
      </w:tr>
      <w:tr w:rsidR="0068395C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200,1168</w:t>
            </w:r>
          </w:p>
        </w:tc>
      </w:tr>
    </w:tbl>
    <w:p w:rsidR="0068395C" w:rsidRDefault="0068395C">
      <w:pPr>
        <w:rPr>
          <w:rFonts w:ascii="Times New Roman" w:hAnsi="Times New Roman"/>
        </w:rPr>
      </w:pPr>
    </w:p>
    <w:p w:rsidR="0068395C" w:rsidRDefault="00C878D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5.1.2. .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68395C" w:rsidRDefault="0068395C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2126"/>
        <w:gridCol w:w="2410"/>
        <w:gridCol w:w="1134"/>
      </w:tblGrid>
      <w:tr w:rsidR="0068395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68395C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17,25602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17,25602</w:t>
            </w:r>
          </w:p>
        </w:tc>
      </w:tr>
      <w:tr w:rsidR="0068395C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17,25602</w:t>
            </w:r>
          </w:p>
        </w:tc>
      </w:tr>
    </w:tbl>
    <w:p w:rsidR="0068395C" w:rsidRDefault="0068395C">
      <w:pPr>
        <w:ind w:firstLine="709"/>
        <w:rPr>
          <w:rFonts w:ascii="Times New Roman" w:hAnsi="Times New Roman"/>
          <w:highlight w:val="yellow"/>
        </w:rPr>
      </w:pPr>
    </w:p>
    <w:p w:rsidR="0068395C" w:rsidRDefault="00C878D0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68395C" w:rsidRDefault="0068395C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2210"/>
        <w:gridCol w:w="1726"/>
        <w:gridCol w:w="1726"/>
        <w:gridCol w:w="1599"/>
      </w:tblGrid>
      <w:tr w:rsidR="0068395C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68395C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138,601</w:t>
            </w:r>
          </w:p>
        </w:tc>
      </w:tr>
      <w:tr w:rsidR="0068395C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</w:t>
            </w:r>
          </w:p>
        </w:tc>
      </w:tr>
      <w:tr w:rsidR="0068395C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Камерная дезинфекция предметов быта и других объектов </w:t>
            </w:r>
            <w:r>
              <w:rPr>
                <w:rFonts w:ascii="Times New Roman" w:hAnsi="Times New Roman"/>
              </w:rPr>
              <w:lastRenderedPageBreak/>
              <w:t>паровоздушным способом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32,17309</w:t>
            </w:r>
          </w:p>
        </w:tc>
      </w:tr>
      <w:tr w:rsidR="0068395C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  <w:p w:rsidR="0068395C" w:rsidRDefault="0068395C">
            <w:pPr>
              <w:widowControl w:val="0"/>
              <w:jc w:val="both"/>
              <w:rPr>
                <w:rFonts w:ascii="Times New Roman" w:hAnsi="Times New Roman"/>
                <w:shd w:val="clear" w:color="auto" w:fill="FFD821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</w:t>
            </w:r>
          </w:p>
        </w:tc>
      </w:tr>
      <w:tr w:rsidR="0068395C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68395C">
        <w:trPr>
          <w:trHeight w:val="50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</w:t>
            </w:r>
          </w:p>
        </w:tc>
      </w:tr>
      <w:tr w:rsidR="0068395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19,500</w:t>
            </w:r>
          </w:p>
        </w:tc>
      </w:tr>
      <w:tr w:rsidR="0068395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</w:t>
            </w:r>
          </w:p>
        </w:tc>
      </w:tr>
      <w:tr w:rsidR="0068395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527,80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9,50</w:t>
            </w:r>
          </w:p>
        </w:tc>
      </w:tr>
      <w:tr w:rsidR="0068395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</w:t>
            </w:r>
          </w:p>
        </w:tc>
      </w:tr>
      <w:tr w:rsidR="0068395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наружных эвакуационных противопожарных лестниц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68395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по утилизации опасных отходов (</w:t>
            </w:r>
            <w:proofErr w:type="spellStart"/>
            <w:r>
              <w:rPr>
                <w:rFonts w:ascii="Times New Roman" w:hAnsi="Times New Roman"/>
              </w:rPr>
              <w:t>люминицентных</w:t>
            </w:r>
            <w:proofErr w:type="spellEnd"/>
            <w:r>
              <w:rPr>
                <w:rFonts w:ascii="Times New Roman" w:hAnsi="Times New Roman"/>
              </w:rPr>
              <w:t xml:space="preserve"> ламп)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  <w:b/>
              </w:rPr>
            </w:pPr>
          </w:p>
          <w:p w:rsidR="0068395C" w:rsidRDefault="0068395C">
            <w:pPr>
              <w:jc w:val="center"/>
              <w:rPr>
                <w:rFonts w:ascii="Times New Roman" w:hAnsi="Times New Roman"/>
                <w:b/>
              </w:rPr>
            </w:pPr>
          </w:p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6,25166</w:t>
            </w:r>
          </w:p>
        </w:tc>
      </w:tr>
      <w:tr w:rsidR="0068395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326,18575</w:t>
            </w:r>
          </w:p>
        </w:tc>
      </w:tr>
    </w:tbl>
    <w:p w:rsidR="0068395C" w:rsidRDefault="0068395C">
      <w:pPr>
        <w:widowControl w:val="0"/>
        <w:ind w:firstLine="72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8395C" w:rsidRDefault="0068395C">
      <w:pPr>
        <w:ind w:firstLine="720"/>
        <w:jc w:val="both"/>
        <w:rPr>
          <w:rFonts w:ascii="Times New Roman" w:hAnsi="Times New Roman"/>
          <w:b/>
        </w:rPr>
      </w:pPr>
    </w:p>
    <w:p w:rsidR="0068395C" w:rsidRDefault="00C878D0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proofErr w:type="gramStart"/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>
        <w:rPr>
          <w:rFonts w:ascii="Times New Roman" w:hAnsi="Times New Roman"/>
          <w:b/>
        </w:rPr>
        <w:t xml:space="preserve"> прочих работ и услуг в рамках затрат на информационно-коммуникационные технологии</w:t>
      </w:r>
    </w:p>
    <w:p w:rsidR="0068395C" w:rsidRDefault="0068395C">
      <w:pPr>
        <w:ind w:firstLine="720"/>
        <w:jc w:val="both"/>
        <w:rPr>
          <w:rFonts w:ascii="Times New Roman" w:hAnsi="Times New Roman"/>
          <w:b/>
        </w:rPr>
      </w:pPr>
    </w:p>
    <w:p w:rsidR="0068395C" w:rsidRDefault="00C878D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68395C" w:rsidRDefault="0068395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68395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68395C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224,00</w:t>
            </w:r>
          </w:p>
        </w:tc>
      </w:tr>
    </w:tbl>
    <w:p w:rsidR="0068395C" w:rsidRDefault="0068395C">
      <w:pPr>
        <w:jc w:val="both"/>
        <w:rPr>
          <w:rFonts w:ascii="Times New Roman" w:hAnsi="Times New Roman"/>
          <w:b/>
        </w:rPr>
      </w:pPr>
    </w:p>
    <w:p w:rsidR="0068395C" w:rsidRDefault="00C878D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68395C" w:rsidRDefault="0068395C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1701"/>
      </w:tblGrid>
      <w:tr w:rsidR="0068395C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год,             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68395C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1,68</w:t>
            </w:r>
          </w:p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68395C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133,36</w:t>
            </w:r>
          </w:p>
        </w:tc>
      </w:tr>
      <w:tr w:rsidR="0068395C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135,04</w:t>
            </w:r>
          </w:p>
        </w:tc>
      </w:tr>
    </w:tbl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6.3. Затраты на оплату прочих работ и услуг:  </w:t>
      </w:r>
    </w:p>
    <w:p w:rsidR="0068395C" w:rsidRDefault="0068395C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2410"/>
        <w:gridCol w:w="1559"/>
      </w:tblGrid>
      <w:tr w:rsidR="0068395C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68395C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исследования воды питьевой,  пищи, смывов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ез</w:t>
            </w:r>
            <w:proofErr w:type="spellEnd"/>
            <w:r>
              <w:rPr>
                <w:rFonts w:ascii="Times New Roman" w:hAnsi="Times New Roman"/>
              </w:rPr>
              <w:t>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215,91683</w:t>
            </w:r>
          </w:p>
        </w:tc>
      </w:tr>
      <w:tr w:rsidR="0068395C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180,73568</w:t>
            </w:r>
          </w:p>
        </w:tc>
      </w:tr>
      <w:tr w:rsidR="0068395C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</w:t>
            </w:r>
            <w:proofErr w:type="spellStart"/>
            <w:r>
              <w:rPr>
                <w:rFonts w:ascii="Times New Roman" w:hAnsi="Times New Roman"/>
              </w:rPr>
              <w:t>заклещеванность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10,08415</w:t>
            </w:r>
          </w:p>
        </w:tc>
      </w:tr>
      <w:tr w:rsidR="0068395C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труда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</w:pPr>
            <w:r>
              <w:t>47,420</w:t>
            </w:r>
          </w:p>
        </w:tc>
      </w:tr>
      <w:tr w:rsidR="0068395C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454,15666</w:t>
            </w:r>
          </w:p>
        </w:tc>
      </w:tr>
    </w:tbl>
    <w:p w:rsidR="0068395C" w:rsidRDefault="0068395C">
      <w:pPr>
        <w:widowControl w:val="0"/>
        <w:ind w:firstLine="72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6.4.Затраты на услуги вневедомственной охраны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1859"/>
        <w:gridCol w:w="1875"/>
        <w:gridCol w:w="2207"/>
        <w:gridCol w:w="1876"/>
      </w:tblGrid>
      <w:tr w:rsidR="0068395C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68395C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3458,33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83,00</w:t>
            </w:r>
          </w:p>
        </w:tc>
      </w:tr>
      <w:tr w:rsidR="0068395C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83,00</w:t>
            </w:r>
          </w:p>
        </w:tc>
      </w:tr>
    </w:tbl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8395C" w:rsidRDefault="0068395C">
      <w:pPr>
        <w:widowControl w:val="0"/>
        <w:ind w:firstLine="720"/>
        <w:jc w:val="both"/>
        <w:rPr>
          <w:rFonts w:ascii="Times New Roman" w:hAnsi="Times New Roman"/>
        </w:rPr>
      </w:pPr>
    </w:p>
    <w:p w:rsidR="0068395C" w:rsidRDefault="0068395C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68395C" w:rsidRDefault="00C878D0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68395C" w:rsidRDefault="0068395C">
      <w:pPr>
        <w:widowControl w:val="0"/>
        <w:ind w:firstLine="708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68395C" w:rsidRDefault="0068395C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470"/>
        <w:gridCol w:w="1575"/>
        <w:gridCol w:w="1843"/>
        <w:gridCol w:w="1600"/>
      </w:tblGrid>
      <w:tr w:rsidR="0068395C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сан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ехнических</w:t>
            </w:r>
            <w:proofErr w:type="spell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игр по реализации программы дошкольного образовани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 xml:space="preserve">не более),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68395C" w:rsidRDefault="0068395C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</w:tr>
      <w:tr w:rsidR="0068395C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96,01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18,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22,99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52,40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192,40</w:t>
            </w:r>
          </w:p>
        </w:tc>
      </w:tr>
    </w:tbl>
    <w:p w:rsidR="0068395C" w:rsidRDefault="0068395C">
      <w:pPr>
        <w:widowControl w:val="0"/>
        <w:ind w:firstLine="708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68395C" w:rsidRDefault="0068395C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717"/>
        <w:gridCol w:w="1424"/>
        <w:gridCol w:w="1426"/>
        <w:gridCol w:w="1426"/>
        <w:gridCol w:w="1932"/>
      </w:tblGrid>
      <w:tr w:rsidR="0068395C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68395C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  <w:r>
              <w:rPr>
                <w:rFonts w:ascii="Times New Roman" w:hAnsi="Times New Roman"/>
              </w:rPr>
              <w:t xml:space="preserve">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68395C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3,00</w:t>
            </w:r>
          </w:p>
        </w:tc>
      </w:tr>
    </w:tbl>
    <w:p w:rsidR="0068395C" w:rsidRDefault="0068395C">
      <w:pPr>
        <w:widowControl w:val="0"/>
        <w:ind w:firstLine="708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68395C" w:rsidRDefault="0068395C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6839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               (не 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</w:tr>
      <w:tr w:rsidR="006839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 w:rsidR="006839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41,00</w:t>
            </w:r>
          </w:p>
        </w:tc>
      </w:tr>
      <w:tr w:rsidR="006839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10,80</w:t>
            </w:r>
          </w:p>
        </w:tc>
      </w:tr>
      <w:tr w:rsidR="006839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Моющее средство для посуд</w:t>
            </w:r>
            <w:proofErr w:type="gramStart"/>
            <w:r>
              <w:rPr>
                <w:rFonts w:ascii="Times New Roman" w:hAnsi="Times New Roman"/>
              </w:rPr>
              <w:t>ы(</w:t>
            </w:r>
            <w:proofErr w:type="gramEnd"/>
            <w:r>
              <w:rPr>
                <w:rFonts w:ascii="Times New Roman" w:hAnsi="Times New Roman"/>
              </w:rPr>
              <w:t>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10,80</w:t>
            </w:r>
          </w:p>
        </w:tc>
      </w:tr>
      <w:tr w:rsidR="0068395C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68395C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</w:t>
            </w:r>
          </w:p>
        </w:tc>
      </w:tr>
      <w:tr w:rsidR="0068395C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68395C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3,10</w:t>
            </w:r>
          </w:p>
        </w:tc>
      </w:tr>
      <w:tr w:rsidR="0068395C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Део</w:t>
            </w:r>
            <w:proofErr w:type="spellEnd"/>
            <w:r>
              <w:rPr>
                <w:rFonts w:ascii="Times New Roman" w:hAnsi="Times New Roman"/>
              </w:rPr>
              <w:t>-хлор (300таб)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8,15</w:t>
            </w:r>
          </w:p>
        </w:tc>
      </w:tr>
      <w:tr w:rsidR="0068395C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                                                                                                                                96,01</w:t>
            </w:r>
          </w:p>
        </w:tc>
      </w:tr>
    </w:tbl>
    <w:p w:rsidR="0068395C" w:rsidRDefault="0068395C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68395C" w:rsidRDefault="00C878D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68395C" w:rsidRDefault="0068395C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68395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68395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68395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68395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 w:rsidR="0068395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18,00</w:t>
            </w:r>
          </w:p>
        </w:tc>
      </w:tr>
    </w:tbl>
    <w:p w:rsidR="0068395C" w:rsidRDefault="0068395C">
      <w:pPr>
        <w:widowControl w:val="0"/>
        <w:jc w:val="both"/>
        <w:rPr>
          <w:rFonts w:ascii="Times New Roman" w:hAnsi="Times New Roman"/>
          <w:highlight w:val="yellow"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68395C" w:rsidRDefault="0068395C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68395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68395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3947,50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15,79</w:t>
            </w:r>
          </w:p>
        </w:tc>
      </w:tr>
      <w:tr w:rsidR="0068395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A05C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7,20</w:t>
            </w:r>
          </w:p>
        </w:tc>
      </w:tr>
      <w:tr w:rsidR="0068395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22,99</w:t>
            </w:r>
          </w:p>
        </w:tc>
      </w:tr>
    </w:tbl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7.1.5. Затраты на приобретение  игр по реализации программы дошкольного образования:</w:t>
      </w:r>
    </w:p>
    <w:p w:rsidR="0068395C" w:rsidRDefault="0068395C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68395C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 год</w:t>
            </w:r>
          </w:p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за единицу (не </w:t>
            </w:r>
            <w:r>
              <w:rPr>
                <w:rFonts w:ascii="Times New Roman" w:hAnsi="Times New Roman"/>
              </w:rPr>
              <w:lastRenderedPageBreak/>
              <w:t>более),</w:t>
            </w:r>
          </w:p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в год (не </w:t>
            </w:r>
            <w:r>
              <w:rPr>
                <w:rFonts w:ascii="Times New Roman" w:hAnsi="Times New Roman"/>
              </w:rPr>
              <w:lastRenderedPageBreak/>
              <w:t>более) тыс. руб.</w:t>
            </w:r>
          </w:p>
        </w:tc>
      </w:tr>
      <w:tr w:rsidR="0068395C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Напольная пирамидка высотой не менее 90 см из восемнадцати крупных элементов.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</w:t>
            </w:r>
          </w:p>
        </w:tc>
      </w:tr>
      <w:tr w:rsidR="0068395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Доска с вкладышами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1,40</w:t>
            </w:r>
          </w:p>
        </w:tc>
      </w:tr>
      <w:tr w:rsidR="0068395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24,000</w:t>
            </w:r>
          </w:p>
        </w:tc>
      </w:tr>
      <w:tr w:rsidR="0068395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столовой посуды для игры с куклой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68395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Тематические наборы карточек с изображениями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68395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костюмов для театрализованной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68395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Декорации для музыкального зала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</w:tr>
      <w:tr w:rsidR="0068395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395C" w:rsidRDefault="00C878D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Гирлянда растяжка для декора/флажки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68395C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6839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95C" w:rsidRDefault="0068395C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68395C" w:rsidRDefault="00C878D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52,40</w:t>
            </w:r>
          </w:p>
        </w:tc>
      </w:tr>
    </w:tbl>
    <w:p w:rsidR="0068395C" w:rsidRDefault="0068395C">
      <w:pPr>
        <w:widowControl w:val="0"/>
        <w:ind w:firstLine="708"/>
        <w:jc w:val="both"/>
        <w:rPr>
          <w:rFonts w:ascii="Times New Roman" w:hAnsi="Times New Roman"/>
        </w:rPr>
      </w:pPr>
    </w:p>
    <w:p w:rsidR="0068395C" w:rsidRDefault="0068395C">
      <w:pPr>
        <w:widowControl w:val="0"/>
        <w:jc w:val="both"/>
        <w:rPr>
          <w:rFonts w:ascii="Times New Roman" w:hAnsi="Times New Roman"/>
          <w:highlight w:val="yellow"/>
        </w:rPr>
      </w:pPr>
    </w:p>
    <w:p w:rsidR="0068395C" w:rsidRDefault="00C878D0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8395C" w:rsidRDefault="0068395C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68395C" w:rsidRDefault="00C878D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176,54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858,8671</w:t>
            </w:r>
          </w:p>
        </w:tc>
      </w:tr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180,42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5,77344</w:t>
            </w:r>
          </w:p>
        </w:tc>
      </w:tr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212,98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5157,3107</w:t>
            </w:r>
          </w:p>
        </w:tc>
      </w:tr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6021,95124</w:t>
            </w:r>
          </w:p>
        </w:tc>
      </w:tr>
    </w:tbl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8.2. Затраты на приобретение продуктов питания: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176,54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55,08048</w:t>
            </w:r>
          </w:p>
        </w:tc>
      </w:tr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212,98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166,1244</w:t>
            </w:r>
          </w:p>
        </w:tc>
      </w:tr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 УО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117,99512</w:t>
            </w:r>
          </w:p>
        </w:tc>
      </w:tr>
      <w:tr w:rsidR="0068395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339,20</w:t>
            </w:r>
          </w:p>
        </w:tc>
      </w:tr>
    </w:tbl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68395C" w:rsidRDefault="00C878D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68395C" w:rsidRDefault="0068395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68395C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68395C" w:rsidRDefault="00C878D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68395C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68395C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68395C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95C" w:rsidRDefault="00C878D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68395C" w:rsidRDefault="0068395C">
      <w:pPr>
        <w:widowControl w:val="0"/>
        <w:jc w:val="both"/>
        <w:rPr>
          <w:rFonts w:ascii="Times New Roman" w:hAnsi="Times New Roman"/>
        </w:rPr>
      </w:pPr>
    </w:p>
    <w:p w:rsidR="0068395C" w:rsidRDefault="00C878D0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68395C" w:rsidRDefault="0068395C"/>
    <w:p w:rsidR="0068395C" w:rsidRDefault="0068395C"/>
    <w:p w:rsidR="0068395C" w:rsidRDefault="0068395C"/>
    <w:sectPr w:rsidR="0068395C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8395C"/>
    <w:rsid w:val="0068395C"/>
    <w:rsid w:val="00821E13"/>
    <w:rsid w:val="00A05C93"/>
    <w:rsid w:val="00C8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2374</Words>
  <Characters>13536</Characters>
  <Application>Microsoft Office Word</Application>
  <DocSecurity>0</DocSecurity>
  <Lines>112</Lines>
  <Paragraphs>31</Paragraphs>
  <ScaleCrop>false</ScaleCrop>
  <Company/>
  <LinksUpToDate>false</LinksUpToDate>
  <CharactersWithSpaces>15879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UserK</cp:lastModifiedBy>
  <cp:revision>5</cp:revision>
  <dcterms:created xsi:type="dcterms:W3CDTF">2026-01-15T08:32:00Z</dcterms:created>
  <dcterms:modified xsi:type="dcterms:W3CDTF">2026-01-15T10:37:00Z</dcterms:modified>
</cp:coreProperties>
</file>